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left="0" w:right="300" w:firstLine="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Alyssa Martin </w:t>
      </w:r>
    </w:p>
    <w:p w:rsidR="00000000" w:rsidDel="00000000" w:rsidP="00000000" w:rsidRDefault="00000000" w:rsidRPr="00000000" w14:paraId="00000002">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Sociology </w:t>
        <w:tab/>
        <w:tab/>
        <w:tab/>
        <w:tab/>
        <w:tab/>
        <w:t xml:space="preserve">             E-mail: anm633@pitt.edu </w:t>
      </w:r>
    </w:p>
    <w:p w:rsidR="00000000" w:rsidDel="00000000" w:rsidP="00000000" w:rsidRDefault="00000000" w:rsidRPr="00000000" w14:paraId="00000003">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University of Pittsburgh </w:t>
        <w:tab/>
        <w:tab/>
        <w:tab/>
        <w:t xml:space="preserve">                                          Phone: (949)732-8953 </w:t>
      </w:r>
    </w:p>
    <w:p w:rsidR="00000000" w:rsidDel="00000000" w:rsidP="00000000" w:rsidRDefault="00000000" w:rsidRPr="00000000" w14:paraId="00000004">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2400 Wesley W. Posvar Hall </w:t>
      </w:r>
    </w:p>
    <w:p w:rsidR="00000000" w:rsidDel="00000000" w:rsidP="00000000" w:rsidRDefault="00000000" w:rsidRPr="00000000" w14:paraId="00000005">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230 Bouquet Street, Pittsburgh, PA 15260 </w:t>
      </w:r>
    </w:p>
    <w:p w:rsidR="00000000" w:rsidDel="00000000" w:rsidP="00000000" w:rsidRDefault="00000000" w:rsidRPr="00000000" w14:paraId="00000006">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Areas of Specialization</w:t>
      </w:r>
    </w:p>
    <w:p w:rsidR="00000000" w:rsidDel="00000000" w:rsidP="00000000" w:rsidRDefault="00000000" w:rsidRPr="00000000" w14:paraId="00000008">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9">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Women’s, Gender and Sexuality Studies, Race and Ethnicity Studies, Reproductive Justice, Healthcare Reform and Advocacy</w:t>
      </w:r>
    </w:p>
    <w:p w:rsidR="00000000" w:rsidDel="00000000" w:rsidP="00000000" w:rsidRDefault="00000000" w:rsidRPr="00000000" w14:paraId="0000000A">
      <w:pPr>
        <w:tabs>
          <w:tab w:val="right" w:leader="none" w:pos="10800"/>
        </w:tabs>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B">
      <w:pPr>
        <w:spacing w:line="360"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Education</w:t>
      </w:r>
      <w:r w:rsidDel="00000000" w:rsidR="00000000" w:rsidRPr="00000000">
        <w:rPr>
          <w:rtl w:val="0"/>
        </w:rPr>
      </w:r>
    </w:p>
    <w:p w:rsidR="00000000" w:rsidDel="00000000" w:rsidP="00000000" w:rsidRDefault="00000000" w:rsidRPr="00000000" w14:paraId="0000000C">
      <w:pPr>
        <w:spacing w:line="360" w:lineRule="auto"/>
        <w:ind w:right="300"/>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tabs>
          <w:tab w:val="right" w:leader="none" w:pos="10800"/>
        </w:tabs>
        <w:spacing w:line="360" w:lineRule="auto"/>
        <w:ind w:right="30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University of Pittsburgh | Ph.D. in Sociology [Expected 2028]</w:t>
        <w:tab/>
        <w:t xml:space="preserve">August 2023-Present</w:t>
      </w:r>
    </w:p>
    <w:p w:rsidR="00000000" w:rsidDel="00000000" w:rsidP="00000000" w:rsidRDefault="00000000" w:rsidRPr="00000000" w14:paraId="0000000E">
      <w:pPr>
        <w:numPr>
          <w:ilvl w:val="0"/>
          <w:numId w:val="3"/>
        </w:numPr>
        <w:tabs>
          <w:tab w:val="right" w:leader="none" w:pos="10800"/>
        </w:tabs>
        <w:spacing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Graduate Fellow</w:t>
      </w:r>
      <w:r w:rsidDel="00000000" w:rsidR="00000000" w:rsidRPr="00000000">
        <w:rPr>
          <w:rtl w:val="0"/>
        </w:rPr>
      </w:r>
    </w:p>
    <w:p w:rsidR="00000000" w:rsidDel="00000000" w:rsidP="00000000" w:rsidRDefault="00000000" w:rsidRPr="00000000" w14:paraId="0000000F">
      <w:pPr>
        <w:tabs>
          <w:tab w:val="right" w:leader="none" w:pos="10800"/>
        </w:tabs>
        <w:spacing w:line="360" w:lineRule="auto"/>
        <w:ind w:right="30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University of Oregon | B.S. in General Social Science: Crime, Law, and Society</w:t>
        <w:tab/>
        <w:t xml:space="preserve">March 2022</w:t>
      </w:r>
    </w:p>
    <w:p w:rsidR="00000000" w:rsidDel="00000000" w:rsidP="00000000" w:rsidRDefault="00000000" w:rsidRPr="00000000" w14:paraId="00000010">
      <w:pPr>
        <w:numPr>
          <w:ilvl w:val="0"/>
          <w:numId w:val="4"/>
        </w:numPr>
        <w:tabs>
          <w:tab w:val="right" w:leader="none" w:pos="10800"/>
        </w:tabs>
        <w:spacing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Graduated </w:t>
      </w:r>
      <w:r w:rsidDel="00000000" w:rsidR="00000000" w:rsidRPr="00000000">
        <w:rPr>
          <w:rFonts w:ascii="Times New Roman" w:cs="Times New Roman" w:eastAsia="Times New Roman" w:hAnsi="Times New Roman"/>
          <w:i w:val="1"/>
          <w:sz w:val="24"/>
          <w:szCs w:val="24"/>
          <w:highlight w:val="white"/>
          <w:rtl w:val="0"/>
        </w:rPr>
        <w:t xml:space="preserve">magna cum laude</w:t>
      </w:r>
      <w:r w:rsidDel="00000000" w:rsidR="00000000" w:rsidRPr="00000000">
        <w:rPr>
          <w:rFonts w:ascii="Times New Roman" w:cs="Times New Roman" w:eastAsia="Times New Roman" w:hAnsi="Times New Roman"/>
          <w:sz w:val="24"/>
          <w:szCs w:val="24"/>
          <w:highlight w:val="white"/>
          <w:rtl w:val="0"/>
        </w:rPr>
        <w:t xml:space="preserve"> with Departmental Honors</w:t>
      </w:r>
    </w:p>
    <w:p w:rsidR="00000000" w:rsidDel="00000000" w:rsidP="00000000" w:rsidRDefault="00000000" w:rsidRPr="00000000" w14:paraId="00000011">
      <w:pPr>
        <w:numPr>
          <w:ilvl w:val="0"/>
          <w:numId w:val="4"/>
        </w:numPr>
        <w:tabs>
          <w:tab w:val="right" w:leader="none" w:pos="10800"/>
        </w:tabs>
        <w:spacing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Minor in Women, Gender, and Sexuality Studies</w:t>
      </w:r>
    </w:p>
    <w:p w:rsidR="00000000" w:rsidDel="00000000" w:rsidP="00000000" w:rsidRDefault="00000000" w:rsidRPr="00000000" w14:paraId="00000012">
      <w:pPr>
        <w:numPr>
          <w:ilvl w:val="0"/>
          <w:numId w:val="4"/>
        </w:numPr>
        <w:tabs>
          <w:tab w:val="right" w:leader="none" w:pos="10800"/>
        </w:tabs>
        <w:spacing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Overall GPA: 3.93/Major GPA: 4.15</w:t>
      </w:r>
    </w:p>
    <w:p w:rsidR="00000000" w:rsidDel="00000000" w:rsidP="00000000" w:rsidRDefault="00000000" w:rsidRPr="00000000" w14:paraId="00000013">
      <w:pPr>
        <w:tabs>
          <w:tab w:val="right" w:leader="none" w:pos="10800"/>
        </w:tabs>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4">
      <w:pPr>
        <w:tabs>
          <w:tab w:val="right" w:leader="none" w:pos="10800"/>
        </w:tabs>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Work Experience</w:t>
      </w:r>
    </w:p>
    <w:p w:rsidR="00000000" w:rsidDel="00000000" w:rsidP="00000000" w:rsidRDefault="00000000" w:rsidRPr="00000000" w14:paraId="00000015">
      <w:pPr>
        <w:tabs>
          <w:tab w:val="right" w:leader="none" w:pos="10800"/>
        </w:tabs>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tabs>
          <w:tab w:val="right" w:leader="none" w:pos="10800"/>
        </w:tabs>
        <w:spacing w:after="0" w:line="360" w:lineRule="auto"/>
        <w:ind w:left="0" w:right="30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Substitute Teacher </w:t>
        <w:tab/>
        <w:t xml:space="preserve">December 2022 - 2023</w:t>
      </w:r>
    </w:p>
    <w:p w:rsidR="00000000" w:rsidDel="00000000" w:rsidP="00000000" w:rsidRDefault="00000000" w:rsidRPr="00000000" w14:paraId="00000017">
      <w:pPr>
        <w:tabs>
          <w:tab w:val="right" w:leader="none" w:pos="10800"/>
        </w:tabs>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Irvine Unified School District | Irvine, CA</w:t>
        <w:tab/>
        <w:t xml:space="preserve">Reference: Jerry Vlasic, (949) 936-6350</w:t>
      </w:r>
    </w:p>
    <w:p w:rsidR="00000000" w:rsidDel="00000000" w:rsidP="00000000" w:rsidRDefault="00000000" w:rsidRPr="00000000" w14:paraId="00000018">
      <w:pPr>
        <w:numPr>
          <w:ilvl w:val="0"/>
          <w:numId w:val="2"/>
        </w:numPr>
        <w:spacing w:after="0" w:line="360" w:lineRule="auto"/>
        <w:ind w:left="720" w:right="30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Fulfilled short-term substitute assignments across all grades and subject areas, effectively engaging with and teaching students of varying academic levels, backgrounds, and educational learning styles. </w:t>
      </w:r>
    </w:p>
    <w:p w:rsidR="00000000" w:rsidDel="00000000" w:rsidP="00000000" w:rsidRDefault="00000000" w:rsidRPr="00000000" w14:paraId="00000019">
      <w:pPr>
        <w:numPr>
          <w:ilvl w:val="0"/>
          <w:numId w:val="2"/>
        </w:numPr>
        <w:spacing w:after="200" w:line="360" w:lineRule="auto"/>
        <w:ind w:left="720" w:right="30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Gained hands-on experience monitoring testing, grading, observing and assisting faculty, communicating with administration and parents, and facilitating a healthy learning environment. </w:t>
      </w:r>
      <w:r w:rsidDel="00000000" w:rsidR="00000000" w:rsidRPr="00000000">
        <w:rPr>
          <w:rtl w:val="0"/>
        </w:rPr>
      </w:r>
    </w:p>
    <w:p w:rsidR="00000000" w:rsidDel="00000000" w:rsidP="00000000" w:rsidRDefault="00000000" w:rsidRPr="00000000" w14:paraId="0000001A">
      <w:pPr>
        <w:tabs>
          <w:tab w:val="right" w:leader="none" w:pos="10800"/>
        </w:tabs>
        <w:spacing w:after="0" w:line="360" w:lineRule="auto"/>
        <w:ind w:left="0" w:right="30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Healthcare Advocacy Intern &amp; Volunteer</w:t>
        <w:tab/>
        <w:t xml:space="preserve">June 2021 - 2023</w:t>
      </w:r>
    </w:p>
    <w:p w:rsidR="00000000" w:rsidDel="00000000" w:rsidP="00000000" w:rsidRDefault="00000000" w:rsidRPr="00000000" w14:paraId="0000001B">
      <w:pPr>
        <w:tabs>
          <w:tab w:val="right" w:leader="none" w:pos="10800"/>
        </w:tabs>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Right Care Alliance | Gainesville, MA</w:t>
        <w:tab/>
        <w:t xml:space="preserve">Reference: Stephanie Aines, (617) 992-9332</w:t>
      </w:r>
    </w:p>
    <w:p w:rsidR="00000000" w:rsidDel="00000000" w:rsidP="00000000" w:rsidRDefault="00000000" w:rsidRPr="00000000" w14:paraId="0000001C">
      <w:pPr>
        <w:numPr>
          <w:ilvl w:val="0"/>
          <w:numId w:val="6"/>
        </w:numPr>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Performed research on various hospital systems nationwide for future use in communication and outreach. Used a volunteer database to plan and facilitate international meetings for over 5,000 active members. </w:t>
      </w:r>
    </w:p>
    <w:p w:rsidR="00000000" w:rsidDel="00000000" w:rsidP="00000000" w:rsidRDefault="00000000" w:rsidRPr="00000000" w14:paraId="0000001D">
      <w:pPr>
        <w:numPr>
          <w:ilvl w:val="0"/>
          <w:numId w:val="6"/>
        </w:numPr>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Interviewed RCA members and published profiles for the Humans of Right Care series and several other blogs. Facilitated several House Parties on queer health and women’s health. Created support groups for those in need of additional care.</w:t>
      </w:r>
    </w:p>
    <w:p w:rsidR="00000000" w:rsidDel="00000000" w:rsidP="00000000" w:rsidRDefault="00000000" w:rsidRPr="00000000" w14:paraId="0000001E">
      <w:pPr>
        <w:numPr>
          <w:ilvl w:val="0"/>
          <w:numId w:val="6"/>
        </w:numPr>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Assisted in the creation of the Aduhelm Campaign, including the planning of its initial Town Hall with over 100 guests. This campaign ultimately led to the pending discontinuation of Aduhelm, a harmful drug targeting vulnerable patients, in 2024. </w:t>
      </w:r>
    </w:p>
    <w:p w:rsidR="00000000" w:rsidDel="00000000" w:rsidP="00000000" w:rsidRDefault="00000000" w:rsidRPr="00000000" w14:paraId="0000001F">
      <w:pPr>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0">
      <w:pPr>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Involvement and Outreach</w:t>
      </w:r>
    </w:p>
    <w:p w:rsidR="00000000" w:rsidDel="00000000" w:rsidP="00000000" w:rsidRDefault="00000000" w:rsidRPr="00000000" w14:paraId="00000021">
      <w:pPr>
        <w:tabs>
          <w:tab w:val="right" w:leader="none" w:pos="10800"/>
        </w:tabs>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tabs>
          <w:tab w:val="right" w:leader="none" w:pos="10800"/>
        </w:tabs>
        <w:spacing w:after="0" w:line="360" w:lineRule="auto"/>
        <w:ind w:left="0" w:right="300" w:firstLine="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Education Committee Member</w:t>
        <w:tab/>
        <w:t xml:space="preserve">2020-2022</w:t>
      </w:r>
    </w:p>
    <w:p w:rsidR="00000000" w:rsidDel="00000000" w:rsidP="00000000" w:rsidRDefault="00000000" w:rsidRPr="00000000" w14:paraId="00000023">
      <w:pPr>
        <w:tabs>
          <w:tab w:val="right" w:leader="none" w:pos="10800"/>
        </w:tabs>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PHC Diversity and Inclusion Taskforce | Eugene, OR </w:t>
      </w:r>
    </w:p>
    <w:p w:rsidR="00000000" w:rsidDel="00000000" w:rsidP="00000000" w:rsidRDefault="00000000" w:rsidRPr="00000000" w14:paraId="00000024">
      <w:pPr>
        <w:numPr>
          <w:ilvl w:val="0"/>
          <w:numId w:val="9"/>
        </w:numPr>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Head of the research division responsible for compiling resources and organizing data concerning all events, programs, art collectives, etc… within the community that focused on bringing together people from intersectional backgrounds. </w:t>
      </w:r>
    </w:p>
    <w:p w:rsidR="00000000" w:rsidDel="00000000" w:rsidP="00000000" w:rsidRDefault="00000000" w:rsidRPr="00000000" w14:paraId="00000025">
      <w:pPr>
        <w:numPr>
          <w:ilvl w:val="0"/>
          <w:numId w:val="9"/>
        </w:numPr>
        <w:spacing w:after="200" w:line="360" w:lineRule="auto"/>
        <w:ind w:left="720" w:right="300" w:hanging="360"/>
        <w:rPr>
          <w:rFonts w:ascii="Times New Roman" w:cs="Times New Roman" w:eastAsia="Times New Roman" w:hAnsi="Times New Roman"/>
          <w:sz w:val="24"/>
          <w:szCs w:val="24"/>
          <w:highlight w:val="white"/>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highlight w:val="white"/>
          <w:rtl w:val="0"/>
        </w:rPr>
        <w:t xml:space="preserve">Created workshops and resources the University of Oregon used to educate students on local BIPOC and LGBTQIA+ communities and how to support them during the COVID-19 pandemic.</w:t>
      </w:r>
    </w:p>
    <w:p w:rsidR="00000000" w:rsidDel="00000000" w:rsidP="00000000" w:rsidRDefault="00000000" w:rsidRPr="00000000" w14:paraId="00000026">
      <w:pPr>
        <w:tabs>
          <w:tab w:val="right" w:leader="none" w:pos="10800"/>
        </w:tabs>
        <w:spacing w:after="0" w:line="360" w:lineRule="auto"/>
        <w:ind w:left="0" w:right="300" w:firstLine="0"/>
        <w:rPr>
          <w:rFonts w:ascii="Times New Roman" w:cs="Times New Roman" w:eastAsia="Times New Roman" w:hAnsi="Times New Roman"/>
          <w:i w:val="1"/>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i w:val="1"/>
          <w:sz w:val="24"/>
          <w:szCs w:val="24"/>
          <w:highlight w:val="white"/>
          <w:rtl w:val="0"/>
        </w:rPr>
        <w:t xml:space="preserve">Recruitment Data Assistant</w:t>
        <w:tab/>
        <w:t xml:space="preserve">2020-2022</w:t>
      </w:r>
    </w:p>
    <w:p w:rsidR="00000000" w:rsidDel="00000000" w:rsidP="00000000" w:rsidRDefault="00000000" w:rsidRPr="00000000" w14:paraId="00000027">
      <w:pPr>
        <w:tabs>
          <w:tab w:val="right" w:leader="none" w:pos="10800"/>
        </w:tabs>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Kappa Alpha Theta’s Executive Recruitment Board and Cabinet | Eugene, OR</w:t>
        <w:tab/>
      </w:r>
    </w:p>
    <w:p w:rsidR="00000000" w:rsidDel="00000000" w:rsidP="00000000" w:rsidRDefault="00000000" w:rsidRPr="00000000" w14:paraId="00000028">
      <w:pPr>
        <w:numPr>
          <w:ilvl w:val="0"/>
          <w:numId w:val="1"/>
        </w:numPr>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Responsible for day-to-day help desk operations including tracking and timely resolution, as well as technical support to over 200+ staff and students. Managed complex software and networked problems to accurately resolve technical issues.</w:t>
      </w:r>
    </w:p>
    <w:p w:rsidR="00000000" w:rsidDel="00000000" w:rsidP="00000000" w:rsidRDefault="00000000" w:rsidRPr="00000000" w14:paraId="00000029">
      <w:pPr>
        <w:numPr>
          <w:ilvl w:val="0"/>
          <w:numId w:val="1"/>
        </w:numPr>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Worked alongside Court Appointed Special Advocates (CASA) to provide a powerful voice for abused and neglected children within Lane County, Oregon by fundraising the cost of volunteers’ training.</w:t>
      </w:r>
    </w:p>
    <w:p w:rsidR="00000000" w:rsidDel="00000000" w:rsidP="00000000" w:rsidRDefault="00000000" w:rsidRPr="00000000" w14:paraId="0000002A">
      <w:pPr>
        <w:tabs>
          <w:tab w:val="right" w:leader="none" w:pos="10800"/>
        </w:tabs>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B">
      <w:pPr>
        <w:tabs>
          <w:tab w:val="right" w:leader="none" w:pos="10800"/>
        </w:tabs>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Awards and Honors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800"/>
        </w:tabs>
        <w:spacing w:after="0" w:before="0" w:line="360" w:lineRule="auto"/>
        <w:ind w:left="0" w:right="300" w:firstLine="0"/>
        <w:jc w:val="left"/>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right" w:leader="none" w:pos="10800"/>
        </w:tabs>
        <w:spacing w:after="0" w:before="0" w:line="360" w:lineRule="auto"/>
        <w:ind w:left="720" w:right="30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2024 Dean’s Graduate Summer Fellowship, University of Pittsburgh</w:t>
      </w:r>
    </w:p>
    <w:p w:rsidR="00000000" w:rsidDel="00000000" w:rsidP="00000000" w:rsidRDefault="00000000" w:rsidRPr="00000000" w14:paraId="000000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10800"/>
        </w:tabs>
        <w:spacing w:after="0" w:before="0" w:line="360" w:lineRule="auto"/>
        <w:ind w:left="720" w:right="300" w:hanging="36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2023 K. Leroy Irvis Fellowship, University of Pittsburgh</w:t>
      </w:r>
    </w:p>
    <w:p w:rsidR="00000000" w:rsidDel="00000000" w:rsidP="00000000" w:rsidRDefault="00000000" w:rsidRPr="00000000" w14:paraId="000000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right" w:leader="none" w:pos="10800"/>
        </w:tabs>
        <w:spacing w:after="0" w:before="0" w:line="360" w:lineRule="auto"/>
        <w:ind w:left="720" w:right="300" w:hanging="360"/>
        <w:jc w:val="left"/>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2023-2028 Five years of Full Guaranteed Funding, University of Pittsburgh</w:t>
      </w:r>
    </w:p>
    <w:p w:rsidR="00000000" w:rsidDel="00000000" w:rsidP="00000000" w:rsidRDefault="00000000" w:rsidRPr="00000000" w14:paraId="00000030">
      <w:pPr>
        <w:numPr>
          <w:ilvl w:val="0"/>
          <w:numId w:val="8"/>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2021 WGSS Summer Internship Scholarship, University of Oregon</w:t>
      </w:r>
      <w:r w:rsidDel="00000000" w:rsidR="00000000" w:rsidRPr="00000000">
        <w:rPr>
          <w:rtl w:val="0"/>
        </w:rPr>
      </w:r>
    </w:p>
    <w:p w:rsidR="00000000" w:rsidDel="00000000" w:rsidP="00000000" w:rsidRDefault="00000000" w:rsidRPr="00000000" w14:paraId="00000031">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2021 John R. Moore Scholarship Award, University of Oregon</w:t>
      </w:r>
    </w:p>
    <w:p w:rsidR="00000000" w:rsidDel="00000000" w:rsidP="00000000" w:rsidRDefault="00000000" w:rsidRPr="00000000" w14:paraId="00000032">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2022 Summit Scholarship, University of Oregon</w:t>
      </w:r>
    </w:p>
    <w:p w:rsidR="00000000" w:rsidDel="00000000" w:rsidP="00000000" w:rsidRDefault="00000000" w:rsidRPr="00000000" w14:paraId="00000033">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2022 Dean’s List Honors, University of Oregon</w:t>
      </w:r>
    </w:p>
    <w:p w:rsidR="00000000" w:rsidDel="00000000" w:rsidP="00000000" w:rsidRDefault="00000000" w:rsidRPr="00000000" w14:paraId="00000034">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2021 Summit Scholarship, University of Oregon</w:t>
      </w:r>
    </w:p>
    <w:p w:rsidR="00000000" w:rsidDel="00000000" w:rsidP="00000000" w:rsidRDefault="00000000" w:rsidRPr="00000000" w14:paraId="00000035">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2021 Dean’s List Honors, University of Oregon</w:t>
      </w:r>
    </w:p>
    <w:p w:rsidR="00000000" w:rsidDel="00000000" w:rsidP="00000000" w:rsidRDefault="00000000" w:rsidRPr="00000000" w14:paraId="00000036">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2020 Summit Scholarship, University of Oregon</w:t>
      </w:r>
    </w:p>
    <w:p w:rsidR="00000000" w:rsidDel="00000000" w:rsidP="00000000" w:rsidRDefault="00000000" w:rsidRPr="00000000" w14:paraId="00000037">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2020 Dean’s List Honors, University of Oregon</w:t>
      </w:r>
    </w:p>
    <w:p w:rsidR="00000000" w:rsidDel="00000000" w:rsidP="00000000" w:rsidRDefault="00000000" w:rsidRPr="00000000" w14:paraId="00000038">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2019 Summit Scholarship, University of Oregon</w:t>
      </w:r>
    </w:p>
    <w:p w:rsidR="00000000" w:rsidDel="00000000" w:rsidP="00000000" w:rsidRDefault="00000000" w:rsidRPr="00000000" w14:paraId="00000039">
      <w:pPr>
        <w:numPr>
          <w:ilvl w:val="0"/>
          <w:numId w:val="5"/>
        </w:numPr>
        <w:tabs>
          <w:tab w:val="right" w:leader="none" w:pos="10800"/>
        </w:tabs>
        <w:spacing w:after="0" w:before="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2019 Dean’s List Honors, University of Oregon</w:t>
      </w:r>
    </w:p>
    <w:p w:rsidR="00000000" w:rsidDel="00000000" w:rsidP="00000000" w:rsidRDefault="00000000" w:rsidRPr="00000000" w14:paraId="0000003A">
      <w:pPr>
        <w:numPr>
          <w:ilvl w:val="0"/>
          <w:numId w:val="5"/>
        </w:numPr>
        <w:tabs>
          <w:tab w:val="right" w:leader="none" w:pos="10800"/>
        </w:tabs>
        <w:spacing w:after="0" w:line="360" w:lineRule="auto"/>
        <w:ind w:left="720" w:right="30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2018 Summit Scholarship, University of Oregon</w:t>
      </w:r>
    </w:p>
    <w:p w:rsidR="00000000" w:rsidDel="00000000" w:rsidP="00000000" w:rsidRDefault="00000000" w:rsidRPr="00000000" w14:paraId="0000003B">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after="0" w:line="360" w:lineRule="auto"/>
        <w:ind w:left="0" w:right="30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Credentials and Skills</w:t>
      </w:r>
    </w:p>
    <w:p w:rsidR="00000000" w:rsidDel="00000000" w:rsidP="00000000" w:rsidRDefault="00000000" w:rsidRPr="00000000" w14:paraId="0000003D">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after="0" w:line="360" w:lineRule="auto"/>
        <w:ind w:left="0" w:right="30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30-Day Substitute Teaching Credential | Microsoft Office | Windows | Data Visualization</w:t>
      </w:r>
    </w:p>
    <w:p w:rsidR="00000000" w:rsidDel="00000000" w:rsidP="00000000" w:rsidRDefault="00000000" w:rsidRPr="00000000" w14:paraId="0000003F">
      <w:pPr>
        <w:spacing w:after="0" w:line="360" w:lineRule="auto"/>
        <w:ind w:right="30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after="0" w:line="360" w:lineRule="auto"/>
        <w:ind w:right="30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References</w:t>
      </w:r>
    </w:p>
    <w:p w:rsidR="00000000" w:rsidDel="00000000" w:rsidP="00000000" w:rsidRDefault="00000000" w:rsidRPr="00000000" w14:paraId="00000041">
      <w:pPr>
        <w:spacing w:after="0" w:line="360" w:lineRule="auto"/>
        <w:ind w:right="300"/>
        <w:rPr>
          <w:rFonts w:ascii="Times New Roman" w:cs="Times New Roman" w:eastAsia="Times New Roman" w:hAnsi="Times New Roman"/>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spacing w:after="0" w:line="360"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Melanie Hughes </w:t>
            </w:r>
          </w:p>
          <w:p w:rsidR="00000000" w:rsidDel="00000000" w:rsidP="00000000" w:rsidRDefault="00000000" w:rsidRPr="00000000" w14:paraId="00000043">
            <w:pPr>
              <w:spacing w:after="0" w:line="360"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Professor</w:t>
            </w:r>
          </w:p>
          <w:p w:rsidR="00000000" w:rsidDel="00000000" w:rsidP="00000000" w:rsidRDefault="00000000" w:rsidRPr="00000000" w14:paraId="00000044">
            <w:pPr>
              <w:spacing w:after="0" w:line="360"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Sociology </w:t>
            </w:r>
          </w:p>
          <w:p w:rsidR="00000000" w:rsidDel="00000000" w:rsidP="00000000" w:rsidRDefault="00000000" w:rsidRPr="00000000" w14:paraId="00000045">
            <w:pPr>
              <w:spacing w:after="0" w:line="360"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University of Pittsburgh </w:t>
            </w:r>
          </w:p>
          <w:p w:rsidR="00000000" w:rsidDel="00000000" w:rsidP="00000000" w:rsidRDefault="00000000" w:rsidRPr="00000000" w14:paraId="00000046">
            <w:pPr>
              <w:spacing w:after="0" w:line="360" w:lineRule="auto"/>
              <w:ind w:right="300"/>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hughesm@pitt.edu</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spacing w:after="0" w:line="360" w:lineRule="auto"/>
              <w:ind w:right="30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Joshua Bloom</w:t>
            </w:r>
          </w:p>
          <w:p w:rsidR="00000000" w:rsidDel="00000000" w:rsidP="00000000" w:rsidRDefault="00000000" w:rsidRPr="00000000" w14:paraId="00000048">
            <w:pPr>
              <w:spacing w:after="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Director of Graduate Studies</w:t>
            </w:r>
          </w:p>
          <w:p w:rsidR="00000000" w:rsidDel="00000000" w:rsidP="00000000" w:rsidRDefault="00000000" w:rsidRPr="00000000" w14:paraId="00000049">
            <w:pPr>
              <w:spacing w:after="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Associate Professor</w:t>
            </w:r>
          </w:p>
          <w:p w:rsidR="00000000" w:rsidDel="00000000" w:rsidP="00000000" w:rsidRDefault="00000000" w:rsidRPr="00000000" w14:paraId="0000004A">
            <w:pPr>
              <w:spacing w:after="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Department of Sociology</w:t>
            </w:r>
          </w:p>
          <w:p w:rsidR="00000000" w:rsidDel="00000000" w:rsidP="00000000" w:rsidRDefault="00000000" w:rsidRPr="00000000" w14:paraId="0000004B">
            <w:pPr>
              <w:spacing w:after="0"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University of Pittsburgh</w:t>
            </w:r>
          </w:p>
          <w:p w:rsidR="00000000" w:rsidDel="00000000" w:rsidP="00000000" w:rsidRDefault="00000000" w:rsidRPr="00000000" w14:paraId="0000004C">
            <w:pPr>
              <w:spacing w:after="0" w:line="360" w:lineRule="auto"/>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joshuabloom@pitt.ed</w:t>
              </w:r>
            </w:hyperlink>
            <w:r w:rsidDel="00000000" w:rsidR="00000000" w:rsidRPr="00000000">
              <w:rPr>
                <w:rFonts w:ascii="Times New Roman" w:cs="Times New Roman" w:eastAsia="Times New Roman" w:hAnsi="Times New Roman"/>
                <w:color w:val="1155cc"/>
                <w:sz w:val="24"/>
                <w:szCs w:val="24"/>
                <w:highlight w:val="white"/>
                <w:u w:val="single"/>
                <w:rtl w:val="0"/>
              </w:rPr>
              <w:t xml:space="preserve">u</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0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Jamie Bufalino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0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Associate Dean for Undergraduate Education, College of A&amp;S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0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Senior Instructor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0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University of Oregon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300" w:firstLine="0"/>
              <w:jc w:val="left"/>
              <w:rPr>
                <w:rFonts w:ascii="Times New Roman" w:cs="Times New Roman" w:eastAsia="Times New Roman" w:hAnsi="Times New Roman"/>
                <w:sz w:val="24"/>
                <w:szCs w:val="24"/>
                <w:highlight w:val="white"/>
              </w:rPr>
            </w:pP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bufalino@uoregon.edu</w:t>
              </w:r>
            </w:hyperlink>
            <w:r w:rsidDel="00000000" w:rsidR="00000000" w:rsidRPr="00000000">
              <w:rPr>
                <w:rFonts w:ascii="Times New Roman" w:cs="Times New Roman" w:eastAsia="Times New Roman" w:hAnsi="Times New Roman"/>
                <w:sz w:val="24"/>
                <w:szCs w:val="24"/>
                <w:highlight w:val="white"/>
                <w:rtl w:val="0"/>
              </w:rPr>
              <w:t xml:space="preserve"> </w:t>
            </w:r>
          </w:p>
        </w:tc>
      </w:tr>
    </w:tbl>
    <w:p w:rsidR="00000000" w:rsidDel="00000000" w:rsidP="00000000" w:rsidRDefault="00000000" w:rsidRPr="00000000" w14:paraId="00000052">
      <w:pPr>
        <w:spacing w:after="0" w:line="360" w:lineRule="auto"/>
        <w:ind w:left="0" w:firstLine="0"/>
        <w:rPr>
          <w:rFonts w:ascii="Times New Roman" w:cs="Times New Roman" w:eastAsia="Times New Roman" w:hAnsi="Times New Roman"/>
          <w:sz w:val="24"/>
          <w:szCs w:val="24"/>
          <w:highlight w:val="white"/>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ughesm@pitt.edu" TargetMode="External"/><Relationship Id="rId7" Type="http://schemas.openxmlformats.org/officeDocument/2006/relationships/hyperlink" Target="http://joshuabloom@pitt.eduhttps//joshuabloom.net" TargetMode="External"/><Relationship Id="rId8" Type="http://schemas.openxmlformats.org/officeDocument/2006/relationships/hyperlink" Target="mailto:bufalino@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